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Record of Strategy Discussion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Time and Date of Meeting: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Chair of strategy discussion: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Young Persons Personal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Parental Responsibility: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 this section please clarify who has parental responsibility including their name/DOB and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D.O.B: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Gender: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First Language:                                             Interpreter required: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Child's communication needs?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(If the child or a member of their family has particular communication needs, how will these be met for the purpose of the investigation)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Ethnicity, Religion &amp; Cultural Identity:</w:t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245"/>
        <w:gridCol w:w="3060"/>
        <w:gridCol w:w="1935"/>
        <w:gridCol w:w="1170"/>
        <w:tblGridChange w:id="0">
          <w:tblGrid>
            <w:gridCol w:w="1605"/>
            <w:gridCol w:w="1245"/>
            <w:gridCol w:w="3060"/>
            <w:gridCol w:w="1935"/>
            <w:gridCol w:w="11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5"/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Family and friends, including other children to be considered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Address &amp; Telephone Number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Relationship to YP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Ethnicity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5"/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Alleged Perpetrator Details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Address &amp; Telephone Number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Relationship to yp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Ethnicity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000"/>
        <w:gridCol w:w="3045"/>
        <w:tblGridChange w:id="0">
          <w:tblGrid>
            <w:gridCol w:w="3030"/>
            <w:gridCol w:w="3000"/>
            <w:gridCol w:w="30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3"/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Agencies involved in strategy discussion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Work telephone number/email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Reason for Discussion and Nature of Allegations/Concerns?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Have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the police been included?  Yes/No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Have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health been included? 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Is this an allegation concerning a child care professional? Yes/No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Should a referral be made to the Local Authority Designated Officer (LADO)? 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RECORD OF DISCUSSION &amp; SIGNIFICANT INFORMATION INCLUDING OTHER AGENCY INFORMATION: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 this section consider what further information is required about the child (ren), family and significant others and how will it be obtained and recorded?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Agencies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must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confirm which records / systems have yet to be researched. The timescale for undertaking this and sharing additional information with the chair / other agencies is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one working day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1"/>
                <w:sz w:val="18"/>
                <w:szCs w:val="18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SUMMARY OF DISCUSSION: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Risk Grading From Each Professional (where applicable):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0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If in place within their agency (normally applicable to Police/Probation/IGU),  professionals need to share a RISK GRADING/CATEGORY assigned to the child (ren), explain the action taken/ to be taken as a result of this grading/category and share the date this will be reviewed (note: risk gradings/categories should always be updated when new and relevant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Risk Grading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Reason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Decisions (to undertake the S47)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 the basis of the information shared, is there evidence that the child(ren) is/are at risk of significant harm and a Section 47 investigation is required?   Yes /No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(If the criteria for a section 47 enquiry is not met, outline what further action (if any) is needed - i.e. Child in Need assessment/early help or family support services):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Reasons for Decision?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rtl w:val="0"/>
              </w:rPr>
              <w:t xml:space="preserve">f a section 47 investigation is required will this be a single or joint agency investigation?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Single/Joint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information will be shared with parents/carers by whom and when?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i w:val="1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1155"/>
        <w:gridCol w:w="2370"/>
        <w:gridCol w:w="2130"/>
        <w:gridCol w:w="2190"/>
        <w:tblGridChange w:id="0">
          <w:tblGrid>
            <w:gridCol w:w="6105"/>
            <w:gridCol w:w="1155"/>
            <w:gridCol w:w="2370"/>
            <w:gridCol w:w="2130"/>
            <w:gridCol w:w="21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70c5d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ACTIONS (include any further actions required, by whom and within what timescale)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Action &amp; Further Details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Required Yes/No?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Person(s) Responsible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Agency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Date/ Timescale</w:t>
            </w:r>
          </w:p>
        </w:tc>
      </w:tr>
      <w:tr>
        <w:trPr>
          <w:cantSplit w:val="0"/>
          <w:trHeight w:val="131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When will the child be seen alone (unless to do so would be inappropriate for the child by the social worker)?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362" w:lineRule="auto"/>
              <w:ind w:right="89"/>
              <w:jc w:val="both"/>
              <w:rPr>
                <w:i w:val="1"/>
                <w:color w:val="0462c1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Taking into account their age and developmental needs, what methods should be used to establish the child's wishes and feelings will be ascertained? If a child is disabled, preferred communication method for understanding and expressing themselves need to be given the utmost priority. Where a child has speech, language and communication needs, adequate arrangements must be made to ensure that their views and feelings can be obtained. </w:t>
            </w:r>
            <w:r w:rsidDel="00000000" w:rsidR="00000000" w:rsidRPr="00000000">
              <w:rPr>
                <w:i w:val="1"/>
                <w:color w:val="0462c1"/>
                <w:sz w:val="18"/>
                <w:szCs w:val="18"/>
                <w:u w:val="single"/>
                <w:rtl w:val="0"/>
              </w:rPr>
              <w:t xml:space="preserve">Click here for Safeguarding Disabled Children – Practice Guidance</w:t>
            </w:r>
            <w:r w:rsidDel="00000000" w:rsidR="00000000" w:rsidRPr="00000000">
              <w:rPr>
                <w:i w:val="1"/>
                <w:color w:val="0462c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462c1"/>
                <w:sz w:val="18"/>
                <w:szCs w:val="18"/>
                <w:u w:val="single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 any actions required immediately to safeguard and promote the welfare of the child and or provide interim services &amp; support?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 there other children who may be affected and in need of protection?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 siblings and other children living in the same home/in contact with alleged perpetrators)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Nominate a named professional or adult who has (or who can develop) a trusted relationship with young people at risk of serious youth violence or extra-familial harm?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Should a social media search be conducted?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 Legal Action required to secure the child’s safety?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Will a medical examination be required?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Discharge from hospital?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If the child is in hospital, confirm how the safe discharge of the child will be secured (i.e. via discharge planning meeting)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 there grounds for a criminal investigation?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 an ABE interview required?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has anti racist practice been considered in this strategy discussion and the agreed follow up actions?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 a review strategy discussion required?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strategy discussion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was undertaken at a time when, due to a cyber attack on the Council's ICT systems, the service has limited access to historical records in the Mosaic recording system─ any decision or assessment made during this period may therefore not be informed by all previous information held on the child.</w:t>
      </w:r>
    </w:p>
    <w:p w:rsidR="00000000" w:rsidDel="00000000" w:rsidP="00000000" w:rsidRDefault="00000000" w:rsidRPr="00000000" w14:paraId="00000105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27455" cy="45709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55" cy="4570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